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ascii="微软雅黑" w:hAnsi="微软雅黑" w:eastAsia="微软雅黑" w:cs="微软雅黑"/>
          <w:caps w:val="0"/>
          <w:color w:val="333333"/>
          <w:spacing w:val="0"/>
          <w:sz w:val="21"/>
          <w:szCs w:val="21"/>
        </w:rPr>
      </w:pPr>
      <w:bookmarkStart w:id="0" w:name="_GoBack"/>
      <w:r>
        <w:rPr>
          <w:rStyle w:val="5"/>
          <w:rFonts w:ascii="微软雅黑" w:hAnsi="微软雅黑" w:eastAsia="微软雅黑" w:cs="微软雅黑"/>
          <w:caps w:val="0"/>
          <w:color w:val="4B4B4B"/>
          <w:spacing w:val="0"/>
          <w:sz w:val="21"/>
          <w:szCs w:val="21"/>
          <w:bdr w:val="none" w:color="000000" w:sz="0" w:space="0"/>
          <w:shd w:val="clear" w:fill="FFFFFF"/>
        </w:rPr>
        <w:t>高等学校预防与处理学术不端行为办法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21"/>
          <w:szCs w:val="21"/>
        </w:rPr>
      </w:pPr>
      <w:r>
        <w:rPr>
          <w:rStyle w:val="5"/>
          <w:rFonts w:hint="eastAsia" w:ascii="微软雅黑" w:hAnsi="微软雅黑" w:eastAsia="微软雅黑" w:cs="微软雅黑"/>
          <w:caps w:val="0"/>
          <w:color w:val="4B4B4B"/>
          <w:spacing w:val="0"/>
          <w:sz w:val="21"/>
          <w:szCs w:val="21"/>
          <w:bdr w:val="none" w:color="000000" w:sz="0" w:space="0"/>
          <w:shd w:val="clear" w:fill="FFFFFF"/>
        </w:rPr>
        <w:t>　　第一章　总则</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第二条　本办法所称学术不端行为是指高等学校及其教学科研人员、管理人员和学生，在科学研究及相关活动中发生的违反公认的学术准则、违背学术诚信的行为。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第三条　高等学校预防与处理学术不端行为应坚持预防为主、教育与惩戒结合的原则。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高等学校应当充分发挥学术委员会在学风建设方面的作用，支持和保障学术委员会依法履行职责，调查、认定学术不端行为。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第二章　教育与预防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第六条　高等学校应当完善学术治理体系，建立科学公正的学术评价和学术发展制度，营造鼓励创新、宽容失败、不骄不躁、风清气正的学术环境。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高等学校教学科研人员、管理人员、学生在科研活动中应当遵循实事求是的科学精神和严谨认真的治学态度，恪守学术诚信，遵循学术准则，尊重和保护他人知识产权等合法权益。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第七条　高等学校应当将学术规范和学术诚信教育，作为教师培训和学生教育的必要内容，以多种形式开展教育、培训。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教师对其指导的学生应当进行学术规范、学术诚信教育和指导，对学生公开发表论文、研究和撰写学位论文是否符合学术规范、学术诚信要求，进行必要的检查与审核。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第八条　高等学校应当利用信息技术等手段，建立对学术成果、学位论文所涉及内容的知识产权查询制度，健全学术规范监督机制。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第九条　高等学校应当建立健全科研管理制度，在合理期限内保存研究的原始数据和资料，保证科研档案和数据的真实性、完整性。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高等学校应当完善科研项目评审、学术成果鉴定程序，结合学科特点，对非涉密的科研项目申报材料、学术成果的基本信息以适当方式进行公开。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第十条　高等学校应当遵循学术研究规律，建立科学的学术水平考核评价标准、办法，引导教学科研人员和学生潜心研究，形成具有创新性、独创性的研究成果。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第十一条　高等学校应当建立教学科研人员学术诚信记录，在年度考核、职称评定、岗位聘用、课题立项、人才计划、评优奖励中强化学术诚信考核。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第三章　受理与调查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第十三条　对学术不端行为的举报，一般应当以书面方式实名提出，并符合下列条件：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（一）有明确的举报对象；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（二）有实施学术不端行为的事实；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（三）有客观的证据材料或者查证线索。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以匿名方式举报，但事实清楚、证据充分或者线索明确的，高等学校应当视情况予以受理。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第十四条　高等学校对媒体公开报道、其他学术机构或者社会组织主动披露的涉及本校人员的学术不端行为，应当依据职权，主动进行调查处理。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第十五条　高等学校受理机构认为举报材料符合条件的，应当及时作出受理决定，并通知举报人。不予受理的，应当书面说明理由。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第十六条　学术不端行为举报受理后，应当交由学校学术委员会按照相关程序组织开展调查。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学术委员会可委托有关专家就举报内容的合理性、调查的可能性等进行初步审查，并作出是否进入正式调查的决定。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决定不进入正式调查的，应当告知举报人。举报人如有新的证据，可以提出异议。异议成立的，应当进入正式调查。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第十七条　高等学校学术委员会决定进入正式调查的，应当通知被举报人。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被调查行为涉及资助项目的，可以同时通知项目资助方。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第十八条　高等学校学术委员会应当组成调查组，负责对被举报行为进行调查；但对事实清楚、证据确凿、情节简单的被举报行为，也可以采用简易调查程序，具体办法由学术委员会确定。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调查组应当不少于３人，必要时应当包括学校纪检、监察机构指派的工作人员，可以邀请同行专家参与调查或者以咨询等方式提供学术判断。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被调查行为涉及资助项目的，可以邀请项目资助方委派相关专业人员参与调查组。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第十九条　调查组的组成人员与举报人或者被举报人有合作研究、亲属或者导师学生等直接利害关系的，应当回避。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第二十条　调查可通过查询资料、现场查看、实验检验、询问证人、询问举报人和被举报人等方式进行。调查组认为有必要的，可以委托无利害关系的专家或者第三方专业机构就有关事项进行独立调查或者验证。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第二十一条　调查组在调查过程中，应当认真听取被举报人的陈述、申辩，对有关事实、理由和证据进行核实；认为必要的，可以采取听证方式。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第二十二条　有关单位和个人应当为调查组开展工作提供必要的便利和协助。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举报人、被举报人、证人及其他有关人员应当如实回答询问，配合调查，提供相关证据材料，不得隐瞒或者提供虚假信息。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第二十三条　调查过程中，出现知识产权等争议引发的法律纠纷的，且该争议可能影响行为定性的，应当中止调查，待争议解决后重启调查。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第二十四条　调查组应当在查清事实的基础上形成调查报告。调查报告应当包括学术不端行为责任人的确认、调查过程、事实认定及理由、调查结论等。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学术不端行为由多人集体做出的，调查报告中应当区别各责任人在行为中所发挥的作用。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第二十五条　接触举报材料和参与调查处理的人员，不得向无关人员透露举报人、被举报人个人信息及调查情况。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第四章　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第二十六条　高等学校学术委员会应当对调查组提交的调查报告进行审查；必要的，应当听取调查组的汇报。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学术委员会可以召开全体会议或者授权专门委员会对被调查行为是否构成学术不端行为以及行为的性质、情节等作出认定结论，并依职权作出处理或建议学校作出相应处理。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第二十七条　经调查，确认被举报人在科学研究及相关活动中有下列行为之一的，应当认定为构成学术不端行为：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（一）剽窃、抄袭、侵占他人学术成果；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（二）篡改他人研究成果；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（三）伪造科研数据、资料、文献、注释，或者捏造事实、编造虚假研究成果；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（四）未参加研究或创作而在研究成果、学术论文上署名，未经他人许可而不当使用他人署名，虚构合作者共同署名，或者多人共同完成研究而在成果中未注明他人工作、贡献；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（五）在申报课题、成果、奖励和职务评审评定、申请学位等过程中提供虚假学术信息；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（六）买卖论文、由他人代写或者为他人代写论文；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（七）其他根据高等学校或者有关学术组织、相关科研管理机构制定的规则，属于学术不端的行为。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第二十八条　有学术不端行为且有下列情形之一的，应当认定为情节严重：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（一）造成恶劣影响的；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（二）存在利益输送或者利益交换的；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（三）对举报人进行打击报复的；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（四）有组织实施学术不端行为的；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（五）多次实施学术不端行为的；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（六）其他造成严重后果或者恶劣影响的。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第五章　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第二十九条　高等学校应当根据学术委员会的认定结论和处理建议，结合行为性质和情节轻重，依职权和规定程序对学术不端行为责任人作出如下处理：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（一）通报批评；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（二）终止或者撤销相关的科研项目，并在一定期限内取消申请资格；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（三）撤销学术奖励或者荣誉称号；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（四）辞退或解聘；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（五）法律、法规及规章规定的其他处理措施。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同时，可以依照有关规定，给予警告、记过、降低岗位等级或者撤职、开除等处分。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学术不端行为责任人获得有关部门、机构设立的科研项目、学术奖励或者荣誉称号等利益的，学校应当同时向有关主管部门提出处理建议。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学生有学术不端行为的，还应当按照学生管理的相关规定，给予相应的学籍处分。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学术不端行为与获得学位有直接关联的，由学位授予单位作暂缓授予学位、不授予学位或者依法撤销学位等处理。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第三十条　高等学校对学术不端行为作出处理决定，应当制作处理决定书，载明以下内容：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（一）责任人的基本情况；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（二）经查证的学术不端行为事实；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（三）处理意见和依据；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（四）救济途径和期限；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（五）其他必要内容。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第三十一条　经调查认定，不构成学术不端行为的，根据被举报人申请，高等学校应当通过一定方式为其消除影响、恢复名誉等。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第三十二条　参与举报受理、调查和处理的人员违反保密等规定，造成不良影响的，按照有关规定给予处分或其他处理。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第六章　复核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第三十三条　举报人或者学术不端行为责任人对处理决定不服的，可以在收到处理决定之日起</w:t>
      </w:r>
      <w:r>
        <w:rPr>
          <w:rFonts w:hint="eastAsia" w:ascii="微软雅黑" w:hAnsi="微软雅黑" w:eastAsia="微软雅黑" w:cs="微软雅黑"/>
          <w:caps w:val="0"/>
          <w:color w:val="4B4B4B"/>
          <w:spacing w:val="0"/>
          <w:sz w:val="18"/>
          <w:szCs w:val="18"/>
          <w:bdr w:val="none" w:color="auto" w:sz="0" w:space="0"/>
          <w:shd w:val="clear" w:fill="FFFFFF"/>
          <w:lang w:val="en-US"/>
        </w:rPr>
        <w:t>30</w:t>
      </w:r>
      <w:r>
        <w:rPr>
          <w:rFonts w:hint="eastAsia" w:ascii="微软雅黑" w:hAnsi="微软雅黑" w:eastAsia="微软雅黑" w:cs="微软雅黑"/>
          <w:caps w:val="0"/>
          <w:color w:val="4B4B4B"/>
          <w:spacing w:val="0"/>
          <w:sz w:val="18"/>
          <w:szCs w:val="18"/>
          <w:bdr w:val="none" w:color="auto" w:sz="0" w:space="0"/>
          <w:shd w:val="clear" w:fill="FFFFFF"/>
        </w:rPr>
        <w:t>日内，以书面形式向高等学校提出异议或者复核申请。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异议和复核不影响处理决定的执行。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第三十四条　高等学校收到异议或者复核申请后，应当交由学术委员会组织讨论，并于</w:t>
      </w:r>
      <w:r>
        <w:rPr>
          <w:rFonts w:hint="eastAsia" w:ascii="微软雅黑" w:hAnsi="微软雅黑" w:eastAsia="微软雅黑" w:cs="微软雅黑"/>
          <w:caps w:val="0"/>
          <w:color w:val="4B4B4B"/>
          <w:spacing w:val="0"/>
          <w:sz w:val="18"/>
          <w:szCs w:val="18"/>
          <w:bdr w:val="none" w:color="auto" w:sz="0" w:space="0"/>
          <w:shd w:val="clear" w:fill="FFFFFF"/>
          <w:lang w:val="en-US"/>
        </w:rPr>
        <w:t>15</w:t>
      </w:r>
      <w:r>
        <w:rPr>
          <w:rFonts w:hint="eastAsia" w:ascii="微软雅黑" w:hAnsi="微软雅黑" w:eastAsia="微软雅黑" w:cs="微软雅黑"/>
          <w:caps w:val="0"/>
          <w:color w:val="4B4B4B"/>
          <w:spacing w:val="0"/>
          <w:sz w:val="18"/>
          <w:szCs w:val="18"/>
          <w:bdr w:val="none" w:color="auto" w:sz="0" w:space="0"/>
          <w:shd w:val="clear" w:fill="FFFFFF"/>
        </w:rPr>
        <w:t>日内作出是否受理的决定。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决定受理的，学校或者学术委员会可以另行组织调查组或者委托第三方机构进行调查；决定不予受理的，应当书面通知当事人。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第三十五条　当事人对复核决定不服，仍以同一事实和理由提出异议或者申请复核的，不予受理；向有关主管部门提出申诉的，按照相关规定执行。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第七章　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第三十六条　高等学校应当按年度发布学风建设工作报告，并向社会公开，接受社会监督。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第三十七条　高等学校处理学术不端行为推诿塞责、隐瞒包庇、查处不力的，主管部门可以直接组织或者委托相关机构查处。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第三十八条　高等学校对本校发生的学术不端行为，未能及时查处并做出公正结论，造成恶劣影响的，主管部门应当追究相关领导的责任，并进行通报。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高等学校为获得相关利益，有组织实施学术不端行为的，主管部门调查确认后，应当撤销高等学校由此获得的相关权利、项目以及其他利益，并追究学校主要负责人、直接负责人的责任。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jc w:val="center"/>
        <w:rPr>
          <w:rFonts w:hint="eastAsia" w:ascii="微软雅黑" w:hAnsi="微软雅黑" w:eastAsia="微软雅黑" w:cs="微软雅黑"/>
          <w:caps w:val="0"/>
          <w:color w:val="333333"/>
          <w:spacing w:val="0"/>
          <w:sz w:val="18"/>
          <w:szCs w:val="18"/>
        </w:rPr>
      </w:pPr>
      <w:r>
        <w:rPr>
          <w:rStyle w:val="5"/>
          <w:rFonts w:hint="eastAsia" w:ascii="微软雅黑" w:hAnsi="微软雅黑" w:eastAsia="微软雅黑" w:cs="微软雅黑"/>
          <w:caps w:val="0"/>
          <w:color w:val="4B4B4B"/>
          <w:spacing w:val="0"/>
          <w:sz w:val="18"/>
          <w:szCs w:val="18"/>
          <w:bdr w:val="none" w:color="000000" w:sz="0" w:space="0"/>
          <w:shd w:val="clear" w:fill="FFFFFF"/>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第三十九条　高等学校应当根据本办法，结合学校实际和学科特点，制定本校学术不端行为查处规则及处理办法，明确各类学术不端行为的惩处标准。有关规则应当经学校学术委员会和教职工代表大会讨论通过。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第四十条　高等学校主管部门对直接受理的学术不端案件，可自行组织调查组或者指定、委托高等学校、有关机构组织调查、认定。对学术不端行为责任人的处理，根据本办法及国家有关规定执行。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教育系统所属科研机构及其他单位有关人员学术不端行为的调查与处理，可参照本办法执行。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第四十一条　本办法自</w:t>
      </w:r>
      <w:r>
        <w:rPr>
          <w:rFonts w:hint="eastAsia" w:ascii="微软雅黑" w:hAnsi="微软雅黑" w:eastAsia="微软雅黑" w:cs="微软雅黑"/>
          <w:caps w:val="0"/>
          <w:color w:val="4B4B4B"/>
          <w:spacing w:val="0"/>
          <w:sz w:val="18"/>
          <w:szCs w:val="18"/>
          <w:bdr w:val="none" w:color="auto" w:sz="0" w:space="0"/>
          <w:shd w:val="clear" w:fill="FFFFFF"/>
          <w:lang w:val="en-US"/>
        </w:rPr>
        <w:t>2016</w:t>
      </w:r>
      <w:r>
        <w:rPr>
          <w:rFonts w:hint="eastAsia" w:ascii="微软雅黑" w:hAnsi="微软雅黑" w:eastAsia="微软雅黑" w:cs="微软雅黑"/>
          <w:caps w:val="0"/>
          <w:color w:val="4B4B4B"/>
          <w:spacing w:val="0"/>
          <w:sz w:val="18"/>
          <w:szCs w:val="18"/>
          <w:bdr w:val="none" w:color="auto" w:sz="0" w:space="0"/>
          <w:shd w:val="clear" w:fill="FFFFFF"/>
        </w:rPr>
        <w:t>年</w:t>
      </w:r>
      <w:r>
        <w:rPr>
          <w:rFonts w:hint="eastAsia" w:ascii="微软雅黑" w:hAnsi="微软雅黑" w:eastAsia="微软雅黑" w:cs="微软雅黑"/>
          <w:caps w:val="0"/>
          <w:color w:val="4B4B4B"/>
          <w:spacing w:val="0"/>
          <w:sz w:val="18"/>
          <w:szCs w:val="18"/>
          <w:bdr w:val="none" w:color="auto" w:sz="0" w:space="0"/>
          <w:shd w:val="clear" w:fill="FFFFFF"/>
          <w:lang w:val="en-US"/>
        </w:rPr>
        <w:t>9</w:t>
      </w:r>
      <w:r>
        <w:rPr>
          <w:rFonts w:hint="eastAsia" w:ascii="微软雅黑" w:hAnsi="微软雅黑" w:eastAsia="微软雅黑" w:cs="微软雅黑"/>
          <w:caps w:val="0"/>
          <w:color w:val="4B4B4B"/>
          <w:spacing w:val="0"/>
          <w:sz w:val="18"/>
          <w:szCs w:val="18"/>
          <w:bdr w:val="none" w:color="auto" w:sz="0" w:space="0"/>
          <w:shd w:val="clear" w:fill="FFFFFF"/>
        </w:rPr>
        <w:t>月</w:t>
      </w:r>
      <w:r>
        <w:rPr>
          <w:rFonts w:hint="eastAsia" w:ascii="微软雅黑" w:hAnsi="微软雅黑" w:eastAsia="微软雅黑" w:cs="微软雅黑"/>
          <w:caps w:val="0"/>
          <w:color w:val="4B4B4B"/>
          <w:spacing w:val="0"/>
          <w:sz w:val="18"/>
          <w:szCs w:val="18"/>
          <w:bdr w:val="none" w:color="auto" w:sz="0" w:space="0"/>
          <w:shd w:val="clear" w:fill="FFFFFF"/>
          <w:lang w:val="en-US"/>
        </w:rPr>
        <w:t>1</w:t>
      </w:r>
      <w:r>
        <w:rPr>
          <w:rFonts w:hint="eastAsia" w:ascii="微软雅黑" w:hAnsi="微软雅黑" w:eastAsia="微软雅黑" w:cs="微软雅黑"/>
          <w:caps w:val="0"/>
          <w:color w:val="4B4B4B"/>
          <w:spacing w:val="0"/>
          <w:sz w:val="18"/>
          <w:szCs w:val="18"/>
          <w:bdr w:val="none" w:color="auto" w:sz="0" w:space="0"/>
          <w:shd w:val="clear" w:fill="FFFFFF"/>
        </w:rPr>
        <w:t>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0"/>
        <w:rPr>
          <w:rFonts w:hint="eastAsia" w:ascii="微软雅黑" w:hAnsi="微软雅黑" w:eastAsia="微软雅黑" w:cs="微软雅黑"/>
          <w:caps w:val="0"/>
          <w:color w:val="333333"/>
          <w:spacing w:val="0"/>
          <w:sz w:val="18"/>
          <w:szCs w:val="18"/>
        </w:rPr>
      </w:pPr>
      <w:r>
        <w:rPr>
          <w:rFonts w:hint="eastAsia" w:ascii="微软雅黑" w:hAnsi="微软雅黑" w:eastAsia="微软雅黑" w:cs="微软雅黑"/>
          <w:caps w:val="0"/>
          <w:color w:val="4B4B4B"/>
          <w:spacing w:val="0"/>
          <w:sz w:val="18"/>
          <w:szCs w:val="18"/>
          <w:bdr w:val="none" w:color="auto" w:sz="0" w:space="0"/>
          <w:shd w:val="clear" w:fill="FFFFFF"/>
        </w:rPr>
        <w:t>　　教育部此前发布的有关规章、文件中的相关规定与本办法不一致的，以本办法为准。</w:t>
      </w:r>
    </w:p>
    <w:p>
      <w:pPr>
        <w:rPr>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AC6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2023-09-05T13:07:51Z</dcterms:created>
  <dc:creator>Jaden</dc:creator>
  <cp:lastModifiedBy>柒夏 ～^ω^～</cp:lastModifiedBy>
  <dcterms:modified xsi:type="dcterms:W3CDTF">2023-09-05T13:08:27Z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